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E3A" w:rsidRDefault="00000000">
      <w:pPr>
        <w:tabs>
          <w:tab w:val="left" w:pos="142"/>
        </w:tabs>
        <w:spacing w:line="560" w:lineRule="exact"/>
        <w:jc w:val="center"/>
        <w:rPr>
          <w:rFonts w:ascii="宋体" w:eastAsia="方正小标宋简体" w:hAnsi="宋体" w:cs="Times New Roman"/>
          <w:bCs/>
          <w:sz w:val="44"/>
          <w:szCs w:val="44"/>
        </w:rPr>
      </w:pPr>
      <w:r>
        <w:rPr>
          <w:rFonts w:ascii="宋体" w:eastAsia="方正小标宋简体" w:hAnsi="宋体" w:cs="Times New Roman" w:hint="eastAsia"/>
          <w:bCs/>
          <w:sz w:val="44"/>
          <w:szCs w:val="44"/>
        </w:rPr>
        <w:t>房屋市政工程生产安全重大事故隐患判定标准</w:t>
      </w:r>
    </w:p>
    <w:p w:rsidR="005D6E3A" w:rsidRDefault="00000000">
      <w:pPr>
        <w:tabs>
          <w:tab w:val="left" w:pos="142"/>
        </w:tabs>
        <w:spacing w:line="560" w:lineRule="exact"/>
        <w:jc w:val="center"/>
        <w:rPr>
          <w:rFonts w:ascii="黑体" w:eastAsia="黑体" w:hAnsi="宋体"/>
          <w:sz w:val="32"/>
          <w:szCs w:val="32"/>
        </w:rPr>
      </w:pPr>
      <w:r>
        <w:rPr>
          <w:rFonts w:ascii="黑体" w:eastAsia="黑体" w:hAnsi="宋体" w:hint="eastAsia"/>
          <w:sz w:val="32"/>
          <w:szCs w:val="32"/>
        </w:rPr>
        <w:t>（2022版）</w:t>
      </w:r>
    </w:p>
    <w:p w:rsidR="005D6E3A" w:rsidRDefault="005D6E3A">
      <w:pPr>
        <w:pStyle w:val="ab"/>
        <w:tabs>
          <w:tab w:val="left" w:pos="142"/>
        </w:tabs>
        <w:spacing w:line="560" w:lineRule="exact"/>
        <w:ind w:firstLine="640"/>
        <w:rPr>
          <w:rStyle w:val="aa"/>
          <w:rFonts w:ascii="黑体" w:eastAsia="黑体" w:hAnsi="黑体" w:cs="黑体"/>
          <w:b w:val="0"/>
          <w:bCs w:val="0"/>
          <w:kern w:val="0"/>
          <w:sz w:val="32"/>
          <w:szCs w:val="32"/>
        </w:rPr>
      </w:pPr>
    </w:p>
    <w:p w:rsidR="005D6E3A" w:rsidRDefault="00000000">
      <w:pPr>
        <w:pStyle w:val="ab"/>
        <w:tabs>
          <w:tab w:val="left" w:pos="142"/>
        </w:tabs>
        <w:spacing w:line="560" w:lineRule="exact"/>
        <w:ind w:firstLine="640"/>
        <w:rPr>
          <w:rFonts w:ascii="仿宋_GB2312" w:eastAsia="仿宋_GB2312" w:hAnsi="仿宋_GB2312" w:cs="仿宋_GB2312"/>
          <w:color w:val="333333"/>
          <w:sz w:val="32"/>
          <w:szCs w:val="32"/>
          <w:shd w:val="clear" w:color="auto" w:fill="FFFFFF"/>
        </w:rPr>
      </w:pPr>
      <w:r>
        <w:rPr>
          <w:rStyle w:val="aa"/>
          <w:rFonts w:ascii="黑体" w:eastAsia="黑体" w:hAnsi="黑体" w:cs="黑体" w:hint="eastAsia"/>
          <w:b w:val="0"/>
          <w:bCs w:val="0"/>
          <w:kern w:val="0"/>
          <w:sz w:val="32"/>
          <w:szCs w:val="32"/>
        </w:rPr>
        <w:t>第一条</w:t>
      </w:r>
      <w:r>
        <w:rPr>
          <w:rStyle w:val="aa"/>
          <w:rFonts w:ascii="仿宋_GB2312" w:eastAsia="仿宋_GB2312" w:hAnsi="仿宋_GB2312" w:cs="仿宋_GB2312" w:hint="eastAsia"/>
          <w:sz w:val="32"/>
          <w:szCs w:val="32"/>
        </w:rPr>
        <w:t xml:space="preserve">  </w:t>
      </w:r>
      <w:r>
        <w:rPr>
          <w:rFonts w:ascii="仿宋_GB2312" w:eastAsia="仿宋_GB2312" w:hAnsi="仿宋_GB2312" w:cs="Times New Roman" w:hint="eastAsia"/>
          <w:sz w:val="32"/>
          <w:szCs w:val="32"/>
        </w:rPr>
        <w:t>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rsidR="005D6E3A" w:rsidRDefault="00000000">
      <w:pPr>
        <w:pStyle w:val="ab"/>
        <w:tabs>
          <w:tab w:val="left" w:pos="142"/>
        </w:tabs>
        <w:spacing w:line="560" w:lineRule="exact"/>
        <w:ind w:firstLine="640"/>
        <w:rPr>
          <w:rFonts w:ascii="仿宋_GB2312" w:eastAsia="仿宋_GB2312" w:hAnsi="仿宋_GB2312" w:cs="仿宋_GB2312"/>
          <w:color w:val="333333"/>
          <w:sz w:val="32"/>
          <w:szCs w:val="32"/>
          <w:shd w:val="clear" w:color="auto" w:fill="FFFFFF"/>
        </w:rPr>
      </w:pPr>
      <w:r>
        <w:rPr>
          <w:rStyle w:val="aa"/>
          <w:rFonts w:ascii="黑体" w:eastAsia="黑体" w:hAnsi="黑体" w:cs="黑体" w:hint="eastAsia"/>
          <w:b w:val="0"/>
          <w:bCs w:val="0"/>
          <w:kern w:val="0"/>
          <w:sz w:val="32"/>
          <w:szCs w:val="32"/>
        </w:rPr>
        <w:t>第二条</w:t>
      </w:r>
      <w:r>
        <w:rPr>
          <w:rStyle w:val="aa"/>
          <w:rFonts w:ascii="仿宋_GB2312" w:eastAsia="仿宋_GB2312" w:hAnsi="仿宋_GB2312" w:cs="仿宋_GB2312" w:hint="eastAsia"/>
          <w:sz w:val="32"/>
          <w:szCs w:val="32"/>
        </w:rPr>
        <w:t xml:space="preserve">  </w:t>
      </w:r>
      <w:r>
        <w:rPr>
          <w:rFonts w:ascii="仿宋_GB2312" w:eastAsia="仿宋_GB2312" w:hAnsi="仿宋_GB2312" w:cs="Times New Roman" w:hint="eastAsia"/>
          <w:sz w:val="32"/>
          <w:szCs w:val="32"/>
        </w:rPr>
        <w:t>本标准所称重大事故隐患，是指在房屋建筑和市政基础设施工程（以下简称房屋市政工程）施工过程中，存在的危害程度较大、可能导致群死群伤或造成重大经济损失的生产安全事故隐患。</w:t>
      </w:r>
    </w:p>
    <w:p w:rsidR="005D6E3A" w:rsidRDefault="00000000">
      <w:pPr>
        <w:pStyle w:val="ab"/>
        <w:tabs>
          <w:tab w:val="left" w:pos="142"/>
        </w:tabs>
        <w:spacing w:line="560" w:lineRule="exact"/>
        <w:ind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第三条  </w:t>
      </w:r>
      <w:r>
        <w:rPr>
          <w:rFonts w:ascii="仿宋_GB2312" w:eastAsia="仿宋_GB2312" w:hAnsi="仿宋_GB2312" w:cs="仿宋_GB2312" w:hint="eastAsia"/>
          <w:color w:val="333333"/>
          <w:sz w:val="32"/>
          <w:szCs w:val="32"/>
          <w:shd w:val="clear" w:color="auto" w:fill="FFFFFF"/>
        </w:rPr>
        <w:t>本</w:t>
      </w:r>
      <w:r>
        <w:rPr>
          <w:rFonts w:ascii="仿宋_GB2312" w:eastAsia="仿宋_GB2312" w:hAnsi="仿宋_GB2312" w:cs="Times New Roman" w:hint="eastAsia"/>
          <w:sz w:val="32"/>
          <w:szCs w:val="32"/>
        </w:rPr>
        <w:t>标准适用于判定新建、扩建、改建、拆除房屋市政工程的生产安全重大事故隐患。</w:t>
      </w:r>
    </w:p>
    <w:p w:rsidR="005D6E3A" w:rsidRDefault="00000000">
      <w:pPr>
        <w:pStyle w:val="ab"/>
        <w:tabs>
          <w:tab w:val="left" w:pos="142"/>
        </w:tabs>
        <w:spacing w:line="56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县级及以上人民政府住房和城乡建设主管部门和施工安全监督机构在监督检查过程中可依照本标准判定房屋市政工程生产安全重大事故隐患。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第四条</w:t>
      </w:r>
      <w:r>
        <w:rPr>
          <w:rStyle w:val="aa"/>
          <w:rFonts w:ascii="仿宋_GB2312" w:eastAsia="仿宋_GB2312" w:hAnsi="仿宋_GB2312" w:cs="仿宋_GB2312" w:hint="eastAsia"/>
          <w:sz w:val="32"/>
          <w:szCs w:val="32"/>
        </w:rPr>
        <w:t xml:space="preserve">  </w:t>
      </w:r>
      <w:r>
        <w:rPr>
          <w:rFonts w:ascii="仿宋_GB2312" w:eastAsia="仿宋_GB2312" w:hAnsi="仿宋_GB2312" w:cs="Times New Roman" w:hint="eastAsia"/>
          <w:sz w:val="32"/>
          <w:szCs w:val="32"/>
        </w:rPr>
        <w:t>施工安全管理有下列情形之一的，应判定为重大事故隐患：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（一）建筑施工企业未取得安全生产许可证擅自从事建筑施工活动；</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（二）施工单位的主要负责人、项目负责人、专职安全生产管理人员未取得安全生产考核合格证书从事相关工作；</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（三）建筑施工特种作业人员未取得特种作业人员操作资格证书上岗作业；</w:t>
      </w:r>
    </w:p>
    <w:p w:rsidR="005D6E3A" w:rsidRDefault="00000000">
      <w:pPr>
        <w:tabs>
          <w:tab w:val="left" w:pos="142"/>
        </w:tabs>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Times New Roman" w:hint="eastAsia"/>
          <w:sz w:val="32"/>
          <w:szCs w:val="32"/>
        </w:rPr>
        <w:t>（四）危险性较大的分部分项工程未编制、未审核专项施工方案，或未按规定组织专家对“超过一定规模的危险性较大的分部分项工程范围”的专项施工方案进行论证。</w:t>
      </w:r>
    </w:p>
    <w:p w:rsidR="005D6E3A" w:rsidRDefault="00000000">
      <w:pPr>
        <w:pStyle w:val="ab"/>
        <w:tabs>
          <w:tab w:val="left" w:pos="142"/>
        </w:tabs>
        <w:spacing w:line="560" w:lineRule="exact"/>
        <w:ind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基坑工程</w:t>
      </w:r>
      <w:bookmarkStart w:id="0" w:name="_Hlk67513480"/>
      <w:r>
        <w:rPr>
          <w:rFonts w:ascii="仿宋_GB2312" w:eastAsia="仿宋_GB2312" w:hAnsi="仿宋_GB2312" w:cs="Times New Roman" w:hint="eastAsia"/>
          <w:sz w:val="32"/>
          <w:szCs w:val="32"/>
        </w:rPr>
        <w:t>有下列情形之一的，应判定为重大事故隐患：</w:t>
      </w:r>
    </w:p>
    <w:bookmarkEnd w:id="0"/>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（一）对因基坑工程施工可能造成损害的毗邻重要建筑物、构筑物和地下管线等,未采取专项防护措施；</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（二）基坑土方超挖且未采取有效措施；</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（三）深基坑施工未进行第三方监测；</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（四）有下列基坑坍塌风险预兆之一，且未及时处理：</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1.支护结构或周边建筑物变形值超过设计变形控制值；</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2.基坑侧壁出现大量漏水、流土；</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3.基坑底部出现管涌；</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4.</w:t>
      </w:r>
      <w:proofErr w:type="gramStart"/>
      <w:r>
        <w:rPr>
          <w:rFonts w:ascii="仿宋_GB2312" w:eastAsia="仿宋_GB2312" w:hAnsi="仿宋_GB2312" w:cs="Times New Roman" w:hint="eastAsia"/>
          <w:sz w:val="32"/>
          <w:szCs w:val="32"/>
        </w:rPr>
        <w:t>桩间土</w:t>
      </w:r>
      <w:proofErr w:type="gramEnd"/>
      <w:r>
        <w:rPr>
          <w:rFonts w:ascii="仿宋_GB2312" w:eastAsia="仿宋_GB2312" w:hAnsi="仿宋_GB2312" w:cs="Times New Roman" w:hint="eastAsia"/>
          <w:sz w:val="32"/>
          <w:szCs w:val="32"/>
        </w:rPr>
        <w:t>流失孔洞深度超过桩径。</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第六条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模板工程有下列情形之一的，应判定为重大事故隐患：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（一）模板工程的地基基础承载力和变形不满足设计要求；</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（二）模板支架承受的施工荷载超过设计值;</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（三）模板支架拆除及滑模、</w:t>
      </w:r>
      <w:proofErr w:type="gramStart"/>
      <w:r>
        <w:rPr>
          <w:rFonts w:ascii="仿宋_GB2312" w:eastAsia="仿宋_GB2312" w:hAnsi="仿宋_GB2312" w:cs="Times New Roman" w:hint="eastAsia"/>
          <w:sz w:val="32"/>
          <w:szCs w:val="32"/>
        </w:rPr>
        <w:t>爬模爬升</w:t>
      </w:r>
      <w:proofErr w:type="gramEnd"/>
      <w:r>
        <w:rPr>
          <w:rFonts w:ascii="仿宋_GB2312" w:eastAsia="仿宋_GB2312" w:hAnsi="仿宋_GB2312" w:cs="Times New Roman" w:hint="eastAsia"/>
          <w:sz w:val="32"/>
          <w:szCs w:val="32"/>
        </w:rPr>
        <w:t>时，混凝土强度未达到设计或规范要求。</w:t>
      </w:r>
    </w:p>
    <w:p w:rsidR="005D6E3A" w:rsidRDefault="00000000">
      <w:pPr>
        <w:pStyle w:val="ab"/>
        <w:tabs>
          <w:tab w:val="left" w:pos="142"/>
        </w:tabs>
        <w:spacing w:line="560" w:lineRule="exact"/>
        <w:ind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第七条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脚手架工程有下列情形之一的，应判定为重大事故隐患：</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（一）脚手架工程的地基基础承载力和变形不满足设计要求；</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（二）未设置</w:t>
      </w:r>
      <w:proofErr w:type="gramStart"/>
      <w:r>
        <w:rPr>
          <w:rFonts w:ascii="仿宋_GB2312" w:eastAsia="仿宋_GB2312" w:hAnsi="仿宋_GB2312" w:cs="Times New Roman" w:hint="eastAsia"/>
          <w:sz w:val="32"/>
          <w:szCs w:val="32"/>
        </w:rPr>
        <w:t>连墙件或</w:t>
      </w:r>
      <w:proofErr w:type="gramEnd"/>
      <w:r>
        <w:rPr>
          <w:rFonts w:ascii="仿宋_GB2312" w:eastAsia="仿宋_GB2312" w:hAnsi="仿宋_GB2312" w:cs="Times New Roman" w:hint="eastAsia"/>
          <w:sz w:val="32"/>
          <w:szCs w:val="32"/>
        </w:rPr>
        <w:t>连</w:t>
      </w:r>
      <w:proofErr w:type="gramStart"/>
      <w:r>
        <w:rPr>
          <w:rFonts w:ascii="仿宋_GB2312" w:eastAsia="仿宋_GB2312" w:hAnsi="仿宋_GB2312" w:cs="Times New Roman" w:hint="eastAsia"/>
          <w:sz w:val="32"/>
          <w:szCs w:val="32"/>
        </w:rPr>
        <w:t>墙件整</w:t>
      </w:r>
      <w:proofErr w:type="gramEnd"/>
      <w:r>
        <w:rPr>
          <w:rFonts w:ascii="仿宋_GB2312" w:eastAsia="仿宋_GB2312" w:hAnsi="仿宋_GB2312" w:cs="Times New Roman" w:hint="eastAsia"/>
          <w:sz w:val="32"/>
          <w:szCs w:val="32"/>
        </w:rPr>
        <w:t>层缺失；</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（三）附着式升降脚手架未经验收合格即投入使用；</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（四）附着式升降脚手架的防倾覆、防坠落或同步升降控制装置不符合设计要求、失效、被人为拆除破坏；</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（五）附着式升降脚手架使用过程中架体悬臂高度大于架体高度的2/5或大于6米。</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起重机械及吊装工程</w:t>
      </w:r>
      <w:bookmarkStart w:id="1" w:name="_Hlk67516607"/>
      <w:r>
        <w:rPr>
          <w:rFonts w:ascii="仿宋_GB2312" w:eastAsia="仿宋_GB2312" w:hAnsi="仿宋_GB2312" w:cs="Times New Roman" w:hint="eastAsia"/>
          <w:sz w:val="32"/>
          <w:szCs w:val="32"/>
        </w:rPr>
        <w:t>有下列情形之一的，应判定为重大事故隐患：</w:t>
      </w:r>
      <w:bookmarkEnd w:id="1"/>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（一）塔式起重机、施工升降机、物料提升机等起重机械设备未经验收合格即投入使用，或未按规定办理使用登记；</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（二）塔式起重机独立起升高度、附着间距和最高附着以上的</w:t>
      </w:r>
      <w:proofErr w:type="gramStart"/>
      <w:r>
        <w:rPr>
          <w:rFonts w:ascii="仿宋_GB2312" w:eastAsia="仿宋_GB2312" w:hAnsi="仿宋_GB2312" w:cs="Times New Roman" w:hint="eastAsia"/>
          <w:sz w:val="32"/>
          <w:szCs w:val="32"/>
        </w:rPr>
        <w:t>最大悬高及</w:t>
      </w:r>
      <w:proofErr w:type="gramEnd"/>
      <w:r>
        <w:rPr>
          <w:rFonts w:ascii="仿宋_GB2312" w:eastAsia="仿宋_GB2312" w:hAnsi="仿宋_GB2312" w:cs="Times New Roman" w:hint="eastAsia"/>
          <w:sz w:val="32"/>
          <w:szCs w:val="32"/>
        </w:rPr>
        <w:t>垂直度不符合规范要求；</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（三）施工升降机附着间距和最高附着以上的</w:t>
      </w:r>
      <w:proofErr w:type="gramStart"/>
      <w:r>
        <w:rPr>
          <w:rFonts w:ascii="仿宋_GB2312" w:eastAsia="仿宋_GB2312" w:hAnsi="仿宋_GB2312" w:cs="Times New Roman" w:hint="eastAsia"/>
          <w:sz w:val="32"/>
          <w:szCs w:val="32"/>
        </w:rPr>
        <w:t>最大悬高及</w:t>
      </w:r>
      <w:proofErr w:type="gramEnd"/>
      <w:r>
        <w:rPr>
          <w:rFonts w:ascii="仿宋_GB2312" w:eastAsia="仿宋_GB2312" w:hAnsi="仿宋_GB2312" w:cs="Times New Roman" w:hint="eastAsia"/>
          <w:sz w:val="32"/>
          <w:szCs w:val="32"/>
        </w:rPr>
        <w:t>垂直度不符合规范要求；</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（四）起重机械安装、拆卸、顶</w:t>
      </w:r>
      <w:proofErr w:type="gramStart"/>
      <w:r>
        <w:rPr>
          <w:rFonts w:ascii="仿宋_GB2312" w:eastAsia="仿宋_GB2312" w:hAnsi="仿宋_GB2312" w:cs="Times New Roman" w:hint="eastAsia"/>
          <w:sz w:val="32"/>
          <w:szCs w:val="32"/>
        </w:rPr>
        <w:t>升加节</w:t>
      </w:r>
      <w:proofErr w:type="gramEnd"/>
      <w:r>
        <w:rPr>
          <w:rFonts w:ascii="仿宋_GB2312" w:eastAsia="仿宋_GB2312" w:hAnsi="仿宋_GB2312" w:cs="Times New Roman" w:hint="eastAsia"/>
          <w:sz w:val="32"/>
          <w:szCs w:val="32"/>
        </w:rPr>
        <w:t>以及附着前未对结构件、顶</w:t>
      </w:r>
      <w:proofErr w:type="gramStart"/>
      <w:r>
        <w:rPr>
          <w:rFonts w:ascii="仿宋_GB2312" w:eastAsia="仿宋_GB2312" w:hAnsi="仿宋_GB2312" w:cs="Times New Roman" w:hint="eastAsia"/>
          <w:sz w:val="32"/>
          <w:szCs w:val="32"/>
        </w:rPr>
        <w:t>升机构</w:t>
      </w:r>
      <w:proofErr w:type="gramEnd"/>
      <w:r>
        <w:rPr>
          <w:rFonts w:ascii="仿宋_GB2312" w:eastAsia="仿宋_GB2312" w:hAnsi="仿宋_GB2312" w:cs="Times New Roman" w:hint="eastAsia"/>
          <w:sz w:val="32"/>
          <w:szCs w:val="32"/>
        </w:rPr>
        <w:t>和附着装置以及高强度螺栓、销轴、定位板等连接件及安全装置进行检查；</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（五）建筑起重机械的安全装置不齐全、失效或者被违规拆除、破坏；</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（六）施工升降机防坠安全</w:t>
      </w:r>
      <w:proofErr w:type="gramStart"/>
      <w:r>
        <w:rPr>
          <w:rFonts w:ascii="仿宋_GB2312" w:eastAsia="仿宋_GB2312" w:hAnsi="仿宋_GB2312" w:cs="Times New Roman" w:hint="eastAsia"/>
          <w:sz w:val="32"/>
          <w:szCs w:val="32"/>
        </w:rPr>
        <w:t>器超过</w:t>
      </w:r>
      <w:proofErr w:type="gramEnd"/>
      <w:r>
        <w:rPr>
          <w:rFonts w:ascii="仿宋_GB2312" w:eastAsia="仿宋_GB2312" w:hAnsi="仿宋_GB2312" w:cs="Times New Roman" w:hint="eastAsia"/>
          <w:sz w:val="32"/>
          <w:szCs w:val="32"/>
        </w:rPr>
        <w:t>定期检验有效期，标准节连接螺栓缺失或失效；</w:t>
      </w:r>
    </w:p>
    <w:p w:rsidR="005D6E3A" w:rsidRDefault="00000000">
      <w:pPr>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Times New Roman" w:hint="eastAsia"/>
          <w:sz w:val="32"/>
          <w:szCs w:val="32"/>
        </w:rPr>
        <w:t>（七）建筑起重机械的地基基础承载力和变形不满足设计要求。</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高处作业有下列情形之一的，应判定为重大事故隐患：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（一）钢结构、网架安装用支撑结构地基基础承载力和变形不满足设计要求，钢结构、网架安装用支撑结构未按设计要求设置防倾覆装置;</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（二）单</w:t>
      </w:r>
      <w:proofErr w:type="gramStart"/>
      <w:r>
        <w:rPr>
          <w:rFonts w:ascii="仿宋_GB2312" w:eastAsia="仿宋_GB2312" w:hAnsi="仿宋_GB2312" w:cs="Times New Roman" w:hint="eastAsia"/>
          <w:sz w:val="32"/>
          <w:szCs w:val="32"/>
        </w:rPr>
        <w:t>榀</w:t>
      </w:r>
      <w:proofErr w:type="gramEnd"/>
      <w:r>
        <w:rPr>
          <w:rFonts w:ascii="仿宋_GB2312" w:eastAsia="仿宋_GB2312" w:hAnsi="仿宋_GB2312" w:cs="Times New Roman" w:hint="eastAsia"/>
          <w:sz w:val="32"/>
          <w:szCs w:val="32"/>
        </w:rPr>
        <w:t>钢桁架（屋架）安装时未采取防失稳措施；</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（三）悬挑式操作平台的搁置点、拉结点、支撑点未设置在稳定的主体结构上,且未做可靠连接。</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施工临时用电方面，特殊作业环境（隧道、人防工程，高温、有导电灰尘、比较潮湿等作业环境）照明未按规定使用安全电压的，应判定为重大事故隐患。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第十一条 </w:t>
      </w:r>
      <w:r>
        <w:rPr>
          <w:rFonts w:ascii="仿宋_GB2312" w:eastAsia="仿宋_GB2312" w:hAnsi="仿宋_GB2312" w:cs="仿宋_GB2312" w:hint="eastAsia"/>
          <w:color w:val="333333"/>
          <w:sz w:val="32"/>
          <w:szCs w:val="32"/>
          <w:shd w:val="clear" w:color="auto" w:fill="FFFFFF"/>
        </w:rPr>
        <w:t xml:space="preserve"> 有</w:t>
      </w:r>
      <w:r>
        <w:rPr>
          <w:rFonts w:ascii="仿宋_GB2312" w:eastAsia="仿宋_GB2312" w:hAnsi="仿宋_GB2312" w:cs="Times New Roman" w:hint="eastAsia"/>
          <w:sz w:val="32"/>
          <w:szCs w:val="32"/>
        </w:rPr>
        <w:t>限空间作业有下列情形之一的，应判定为重大事故隐患：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（一）有限空间作业未履行“作业审批制度”，未对施工人员进行专项安全教育培训,未执行“先通风、再检测、后作业”原则；</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（二）有限空间作业时现场未有专人负责监护工作。</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Times New Roman" w:hint="eastAsia"/>
          <w:sz w:val="32"/>
          <w:szCs w:val="32"/>
        </w:rPr>
        <w:t>拆除工程方面，拆除施工作业顺序不符合规范和施工方案要求的，应判定为重大事故隐患。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第十三条  </w:t>
      </w:r>
      <w:r>
        <w:rPr>
          <w:rFonts w:ascii="仿宋_GB2312" w:eastAsia="仿宋_GB2312" w:hAnsi="仿宋_GB2312" w:cs="Times New Roman" w:hint="eastAsia"/>
          <w:sz w:val="32"/>
          <w:szCs w:val="32"/>
        </w:rPr>
        <w:t>暗挖工程有下列情形之一的，应判定为重大事故隐患：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（一）作业面带水施工未采取相关措施，或地下水控制措施失效且继续施工；</w:t>
      </w:r>
    </w:p>
    <w:p w:rsidR="005D6E3A"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（二）施工时出现涌水、涌沙、局部坍塌，支护结构扭曲变形或出现裂缝，且有不断增大趋势，未及时采取措施。</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第十四条  </w:t>
      </w:r>
      <w:r>
        <w:rPr>
          <w:rFonts w:ascii="仿宋_GB2312" w:eastAsia="仿宋_GB2312" w:hAnsi="仿宋_GB2312" w:cs="Times New Roman" w:hint="eastAsia"/>
          <w:sz w:val="32"/>
          <w:szCs w:val="32"/>
        </w:rPr>
        <w:t>使用危害程度较大、可能导致群死群伤或造成重大经济损失的施工工艺、设备和材料，应判定为重大事故隐患。</w:t>
      </w:r>
    </w:p>
    <w:p w:rsidR="005D6E3A" w:rsidRDefault="00000000">
      <w:pPr>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第十五条  </w:t>
      </w:r>
      <w:r>
        <w:rPr>
          <w:rFonts w:ascii="仿宋_GB2312" w:eastAsia="仿宋_GB2312" w:hAnsi="仿宋_GB2312" w:cs="Times New Roman" w:hint="eastAsia"/>
          <w:sz w:val="32"/>
          <w:szCs w:val="32"/>
        </w:rPr>
        <w:t>其他严重违反房屋市政工程安全生产法律法规、部门规章及强制性标准，且存在危害程度较大、可能导致群死群伤或造成重大经济损失的现实危险，应判定为重大事故隐患。</w:t>
      </w:r>
    </w:p>
    <w:p w:rsidR="005D6E3A" w:rsidRDefault="00000000">
      <w:pPr>
        <w:tabs>
          <w:tab w:val="left" w:pos="142"/>
        </w:tabs>
        <w:spacing w:line="560" w:lineRule="exact"/>
        <w:ind w:firstLineChars="200" w:firstLine="640"/>
        <w:rPr>
          <w:rFonts w:ascii="仿宋_GB2312" w:eastAsia="仿宋_GB2312" w:hAnsi="仿宋_GB2312" w:cs="Times New Roman"/>
          <w:sz w:val="32"/>
          <w:szCs w:val="32"/>
        </w:rPr>
      </w:pPr>
      <w:r>
        <w:rPr>
          <w:rStyle w:val="aa"/>
          <w:rFonts w:ascii="黑体" w:eastAsia="黑体" w:hAnsi="黑体" w:cs="黑体" w:hint="eastAsia"/>
          <w:b w:val="0"/>
          <w:bCs w:val="0"/>
          <w:kern w:val="0"/>
          <w:sz w:val="32"/>
          <w:szCs w:val="32"/>
        </w:rPr>
        <w:t xml:space="preserve">第十六条  </w:t>
      </w:r>
      <w:r>
        <w:rPr>
          <w:rFonts w:ascii="仿宋_GB2312" w:eastAsia="仿宋_GB2312" w:hAnsi="仿宋_GB2312" w:cs="Times New Roman" w:hint="eastAsia"/>
          <w:sz w:val="32"/>
          <w:szCs w:val="32"/>
        </w:rPr>
        <w:t>本标准自发布之日起执行。</w:t>
      </w:r>
    </w:p>
    <w:sectPr w:rsidR="005D6E3A">
      <w:footerReference w:type="default" r:id="rId7"/>
      <w:pgSz w:w="11906" w:h="16838"/>
      <w:pgMar w:top="2098" w:right="1474" w:bottom="1984" w:left="1587" w:header="851" w:footer="158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0C2" w:rsidRDefault="000370C2">
      <w:r>
        <w:separator/>
      </w:r>
    </w:p>
  </w:endnote>
  <w:endnote w:type="continuationSeparator" w:id="0">
    <w:p w:rsidR="000370C2" w:rsidRDefault="000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swiss"/>
    <w:pitch w:val="default"/>
    <w:sig w:usb0="00000000" w:usb1="0000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6E3A" w:rsidRDefault="00000000">
    <w:pPr>
      <w:pStyle w:val="a4"/>
    </w:pPr>
    <w:r>
      <w:rPr>
        <w:noProof/>
      </w:rPr>
      <mc:AlternateContent>
        <mc:Choice Requires="wps">
          <w:drawing>
            <wp:anchor distT="0" distB="0" distL="114300" distR="114300" simplePos="0" relativeHeight="251659264" behindDoc="0" locked="0" layoutInCell="1" allowOverlap="1" wp14:anchorId="69DF2820" wp14:editId="31134B9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6E3A"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DF282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D6E3A"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0C2" w:rsidRDefault="000370C2">
      <w:r>
        <w:separator/>
      </w:r>
    </w:p>
  </w:footnote>
  <w:footnote w:type="continuationSeparator" w:id="0">
    <w:p w:rsidR="000370C2" w:rsidRDefault="00037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2F"/>
    <w:rsid w:val="B676DD31"/>
    <w:rsid w:val="B73DEB28"/>
    <w:rsid w:val="B9CBC022"/>
    <w:rsid w:val="BBCD1047"/>
    <w:rsid w:val="BCFF2E86"/>
    <w:rsid w:val="BFAF4AE5"/>
    <w:rsid w:val="BFBACA0F"/>
    <w:rsid w:val="BFF75DC2"/>
    <w:rsid w:val="BFFA1864"/>
    <w:rsid w:val="BFFF66BD"/>
    <w:rsid w:val="CD9F1E74"/>
    <w:rsid w:val="D323038D"/>
    <w:rsid w:val="DFAFFFC1"/>
    <w:rsid w:val="DFFF446A"/>
    <w:rsid w:val="E2AFEB24"/>
    <w:rsid w:val="E39F06E8"/>
    <w:rsid w:val="EEE67FBF"/>
    <w:rsid w:val="EEEF0ABE"/>
    <w:rsid w:val="EFF300C2"/>
    <w:rsid w:val="EFFD0D42"/>
    <w:rsid w:val="EFFD95C2"/>
    <w:rsid w:val="F57B6FAB"/>
    <w:rsid w:val="F5FB2CA8"/>
    <w:rsid w:val="F5FCE6B6"/>
    <w:rsid w:val="F6FABD86"/>
    <w:rsid w:val="F77B6315"/>
    <w:rsid w:val="F7D2236A"/>
    <w:rsid w:val="F7DE7839"/>
    <w:rsid w:val="F9623F28"/>
    <w:rsid w:val="F9F7E9C0"/>
    <w:rsid w:val="FB7FE69D"/>
    <w:rsid w:val="FBB7F7C7"/>
    <w:rsid w:val="FBB9F4AB"/>
    <w:rsid w:val="FBBA26EA"/>
    <w:rsid w:val="FBDE1D11"/>
    <w:rsid w:val="FBFC98F2"/>
    <w:rsid w:val="FCEF6B0C"/>
    <w:rsid w:val="FDC44F7F"/>
    <w:rsid w:val="FDFD4EB4"/>
    <w:rsid w:val="FF0F3898"/>
    <w:rsid w:val="FFBF7533"/>
    <w:rsid w:val="FFBFC2A7"/>
    <w:rsid w:val="FFFF7AAB"/>
    <w:rsid w:val="FFFF9613"/>
    <w:rsid w:val="FFFFD7B6"/>
    <w:rsid w:val="00015691"/>
    <w:rsid w:val="000370C2"/>
    <w:rsid w:val="00094328"/>
    <w:rsid w:val="0017086D"/>
    <w:rsid w:val="001E1C40"/>
    <w:rsid w:val="002B59A6"/>
    <w:rsid w:val="00343C01"/>
    <w:rsid w:val="00353A54"/>
    <w:rsid w:val="003B2689"/>
    <w:rsid w:val="003B6E3B"/>
    <w:rsid w:val="004506D2"/>
    <w:rsid w:val="00450D6B"/>
    <w:rsid w:val="00465C2B"/>
    <w:rsid w:val="004B5519"/>
    <w:rsid w:val="00512D5E"/>
    <w:rsid w:val="00556A5F"/>
    <w:rsid w:val="00566D01"/>
    <w:rsid w:val="005C4C88"/>
    <w:rsid w:val="005D6E3A"/>
    <w:rsid w:val="006071CE"/>
    <w:rsid w:val="0068684E"/>
    <w:rsid w:val="00707A1D"/>
    <w:rsid w:val="00753E1A"/>
    <w:rsid w:val="00777929"/>
    <w:rsid w:val="007A0B41"/>
    <w:rsid w:val="0085352C"/>
    <w:rsid w:val="008816A7"/>
    <w:rsid w:val="008B4B04"/>
    <w:rsid w:val="008E19B4"/>
    <w:rsid w:val="008E7408"/>
    <w:rsid w:val="009C16C7"/>
    <w:rsid w:val="00A10432"/>
    <w:rsid w:val="00A272B4"/>
    <w:rsid w:val="00A32F74"/>
    <w:rsid w:val="00A71907"/>
    <w:rsid w:val="00B201B8"/>
    <w:rsid w:val="00B33278"/>
    <w:rsid w:val="00BD54B4"/>
    <w:rsid w:val="00CB0887"/>
    <w:rsid w:val="00CD6A04"/>
    <w:rsid w:val="00D13E96"/>
    <w:rsid w:val="00D83FC9"/>
    <w:rsid w:val="00DF3D97"/>
    <w:rsid w:val="00E2281E"/>
    <w:rsid w:val="00E34D21"/>
    <w:rsid w:val="00E47CEB"/>
    <w:rsid w:val="00E602F9"/>
    <w:rsid w:val="00E855F5"/>
    <w:rsid w:val="00E90A7A"/>
    <w:rsid w:val="00E93B68"/>
    <w:rsid w:val="00E963E6"/>
    <w:rsid w:val="00EF6DFC"/>
    <w:rsid w:val="00F1472A"/>
    <w:rsid w:val="00F54C08"/>
    <w:rsid w:val="00F61510"/>
    <w:rsid w:val="00F84D4A"/>
    <w:rsid w:val="00F93C2F"/>
    <w:rsid w:val="00FA7645"/>
    <w:rsid w:val="00FB60F4"/>
    <w:rsid w:val="00FC6AC0"/>
    <w:rsid w:val="0DF518B9"/>
    <w:rsid w:val="0FD22189"/>
    <w:rsid w:val="13FE7091"/>
    <w:rsid w:val="1EFB1698"/>
    <w:rsid w:val="1FDF2BBA"/>
    <w:rsid w:val="28DD144F"/>
    <w:rsid w:val="3206081F"/>
    <w:rsid w:val="337940F7"/>
    <w:rsid w:val="33ED3DAC"/>
    <w:rsid w:val="36CB8568"/>
    <w:rsid w:val="37FF3627"/>
    <w:rsid w:val="38F59B23"/>
    <w:rsid w:val="3BFE017F"/>
    <w:rsid w:val="3D7B771A"/>
    <w:rsid w:val="3DF32529"/>
    <w:rsid w:val="3E9F7FC2"/>
    <w:rsid w:val="3F2B5D6A"/>
    <w:rsid w:val="3FDEC571"/>
    <w:rsid w:val="3FF3BA71"/>
    <w:rsid w:val="3FFD61F0"/>
    <w:rsid w:val="485D2EC5"/>
    <w:rsid w:val="49EDC1EA"/>
    <w:rsid w:val="4CBFA794"/>
    <w:rsid w:val="4EFC9D44"/>
    <w:rsid w:val="4EFFFE83"/>
    <w:rsid w:val="4F3F6C44"/>
    <w:rsid w:val="4FE7B7FB"/>
    <w:rsid w:val="53792F6A"/>
    <w:rsid w:val="53B6565F"/>
    <w:rsid w:val="5AE566AF"/>
    <w:rsid w:val="5B7980F2"/>
    <w:rsid w:val="5CD60348"/>
    <w:rsid w:val="5F35A017"/>
    <w:rsid w:val="63B7A7E6"/>
    <w:rsid w:val="65CD3AE7"/>
    <w:rsid w:val="67EB432B"/>
    <w:rsid w:val="6D7FDA43"/>
    <w:rsid w:val="6F9595E0"/>
    <w:rsid w:val="6FBF0F5F"/>
    <w:rsid w:val="6FD3A3A0"/>
    <w:rsid w:val="6FD7332F"/>
    <w:rsid w:val="70F02A4E"/>
    <w:rsid w:val="72CFE43D"/>
    <w:rsid w:val="75EFA63D"/>
    <w:rsid w:val="76BCDD96"/>
    <w:rsid w:val="771FFDFD"/>
    <w:rsid w:val="777D6934"/>
    <w:rsid w:val="77ED8B72"/>
    <w:rsid w:val="7BCD8148"/>
    <w:rsid w:val="7BF6EC3D"/>
    <w:rsid w:val="7BFE8D83"/>
    <w:rsid w:val="7BFEB09D"/>
    <w:rsid w:val="7D6E0DBE"/>
    <w:rsid w:val="7DBC6CA3"/>
    <w:rsid w:val="7DFB1AFE"/>
    <w:rsid w:val="7EDF800F"/>
    <w:rsid w:val="7EE41E57"/>
    <w:rsid w:val="7F9B5A6C"/>
    <w:rsid w:val="7FBFC9EC"/>
    <w:rsid w:val="7FCBF56E"/>
    <w:rsid w:val="7FDF9971"/>
    <w:rsid w:val="7FF684A7"/>
    <w:rsid w:val="7FFF2284"/>
    <w:rsid w:val="8EEF2644"/>
    <w:rsid w:val="8EFF1122"/>
    <w:rsid w:val="95792A9D"/>
    <w:rsid w:val="95DF80F3"/>
    <w:rsid w:val="99FCE070"/>
    <w:rsid w:val="9B37DD59"/>
    <w:rsid w:val="9F7BBB91"/>
    <w:rsid w:val="AEBEE43F"/>
    <w:rsid w:val="AF1FE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FD404F"/>
  <w15:docId w15:val="{A994A364-202C-49D2-887C-042D9E31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cs="Calibri"/>
      <w:kern w:val="2"/>
      <w:sz w:val="21"/>
      <w:szCs w:val="24"/>
    </w:rPr>
  </w:style>
  <w:style w:type="paragraph" w:styleId="20">
    <w:name w:val="heading 2"/>
    <w:basedOn w:val="a"/>
    <w:next w:val="a"/>
    <w:link w:val="21"/>
    <w:qFormat/>
    <w:pPr>
      <w:keepNext/>
      <w:keepLines/>
      <w:spacing w:before="260" w:after="260" w:line="416" w:lineRule="auto"/>
      <w:jc w:val="center"/>
      <w:outlineLvl w:val="1"/>
    </w:pPr>
    <w:rPr>
      <w:rFonts w:ascii="Arial" w:eastAsia="黑体"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Default"/>
    <w:uiPriority w:val="99"/>
    <w:semiHidden/>
    <w:unhideWhenUsed/>
    <w:qFormat/>
    <w:pPr>
      <w:widowControl/>
      <w:spacing w:before="100" w:beforeAutospacing="1" w:after="100" w:afterAutospacing="1"/>
      <w:jc w:val="left"/>
    </w:pPr>
    <w:rPr>
      <w:rFonts w:ascii="宋体" w:hAnsi="宋体" w:cs="宋体"/>
      <w:kern w:val="0"/>
      <w:sz w:val="24"/>
    </w:rPr>
  </w:style>
  <w:style w:type="paragraph" w:customStyle="1" w:styleId="Default">
    <w:name w:val="Default"/>
    <w:uiPriority w:val="99"/>
    <w:unhideWhenUsed/>
    <w:qFormat/>
    <w:pPr>
      <w:widowControl w:val="0"/>
      <w:autoSpaceDE w:val="0"/>
      <w:autoSpaceDN w:val="0"/>
      <w:adjustRightInd w:val="0"/>
    </w:pPr>
    <w:rPr>
      <w:rFonts w:ascii="Arial Unicode MS" w:eastAsia="Arial Unicode MS" w:hAnsi="Arial Unicode MS" w:hint="eastAsia"/>
      <w:color w:val="000000"/>
      <w:sz w:val="24"/>
      <w:szCs w:val="2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bCs/>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apple-converted-space">
    <w:name w:val="apple-converted-space"/>
    <w:basedOn w:val="a0"/>
    <w:qFormat/>
  </w:style>
  <w:style w:type="paragraph" w:styleId="ab">
    <w:name w:val="List Paragraph"/>
    <w:basedOn w:val="a"/>
    <w:uiPriority w:val="34"/>
    <w:qFormat/>
    <w:pPr>
      <w:ind w:firstLineChars="200" w:firstLine="420"/>
    </w:pPr>
  </w:style>
  <w:style w:type="character" w:customStyle="1" w:styleId="21">
    <w:name w:val="标题 2 字符"/>
    <w:basedOn w:val="a0"/>
    <w:link w:val="20"/>
    <w:qFormat/>
    <w:rPr>
      <w:rFonts w:ascii="Arial" w:eastAsia="黑体" w:hAnsi="Arial" w:cs="Calibri"/>
      <w:b/>
      <w:bCs/>
      <w:sz w:val="24"/>
      <w:szCs w:val="32"/>
    </w:rPr>
  </w:style>
  <w:style w:type="paragraph" w:styleId="ac">
    <w:name w:val="Revision"/>
    <w:hidden/>
    <w:uiPriority w:val="99"/>
    <w:semiHidden/>
    <w:rsid w:val="008816A7"/>
    <w:rPr>
      <w:rFonts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房屋市政工程生产安全重大事故隐患判定标准</dc:title>
  <dc:creator>webuser</dc:creator>
  <cp:lastModifiedBy>1095301638@qq.com</cp:lastModifiedBy>
  <cp:revision>1</cp:revision>
  <cp:lastPrinted>2022-02-11T03:58:00Z</cp:lastPrinted>
  <dcterms:created xsi:type="dcterms:W3CDTF">2022-07-27T02:13:00Z</dcterms:created>
  <dcterms:modified xsi:type="dcterms:W3CDTF">2022-07-27T02:13:00Z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7775221AC3A94C88B583CAB37FECDA73</vt:lpwstr>
  </property>
</Properties>
</file>